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EB" w:rsidRPr="003715EB" w:rsidRDefault="003715EB" w:rsidP="003715EB">
      <w:pPr>
        <w:shd w:val="clear" w:color="auto" w:fill="E10951"/>
        <w:spacing w:line="75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spacing w:val="75"/>
          <w:kern w:val="36"/>
          <w:sz w:val="30"/>
          <w:szCs w:val="30"/>
          <w:lang w:eastAsia="es-MX"/>
        </w:rPr>
      </w:pPr>
      <w:bookmarkStart w:id="0" w:name="_GoBack"/>
      <w:bookmarkEnd w:id="0"/>
      <w:r w:rsidRPr="003715EB">
        <w:rPr>
          <w:rFonts w:ascii="Arial" w:eastAsia="Times New Roman" w:hAnsi="Arial" w:cs="Arial"/>
          <w:b/>
          <w:bCs/>
          <w:caps/>
          <w:color w:val="000000"/>
          <w:spacing w:val="75"/>
          <w:kern w:val="36"/>
          <w:sz w:val="30"/>
          <w:szCs w:val="30"/>
          <w:lang w:eastAsia="es-MX"/>
        </w:rPr>
        <w:t>“JOVEN CON-SENTIDO” PREVENCIÓN CONTRA ADICCIONES</w:t>
      </w:r>
    </w:p>
    <w:p w:rsidR="003715EB" w:rsidRPr="003715EB" w:rsidRDefault="003715EB" w:rsidP="003715EB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3715EB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Información del programa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Dirección de Área: </w:t>
      </w:r>
    </w:p>
    <w:p w:rsidR="003715EB" w:rsidRPr="003715EB" w:rsidRDefault="009F5F9F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5" w:history="1">
        <w:r w:rsidR="003715EB" w:rsidRPr="003715EB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Familia saludable y apoyos complementarios</w:t>
        </w:r>
      </w:hyperlink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Objetivo del programa: </w:t>
      </w:r>
    </w:p>
    <w:p w:rsidR="003715EB" w:rsidRPr="003715EB" w:rsidRDefault="003715EB" w:rsidP="003715EB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3715EB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Impulsar actividades de prevención de riesgos psicosociales, como las adicciones, así como promover e implementar actividades para elevar la calidad de vida de las niñas, niños, adolescentes, y sus familias que favorezcan su desarrollo personal y generen una vida con propósito y buen trato.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Población objetivo: </w:t>
      </w:r>
    </w:p>
    <w:p w:rsidR="003715EB" w:rsidRPr="003715EB" w:rsidRDefault="009F5F9F" w:rsidP="003715EB">
      <w:pPr>
        <w:spacing w:after="45"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6" w:history="1">
        <w:r w:rsidR="003715EB" w:rsidRPr="003715EB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Jóvenes</w:t>
        </w:r>
      </w:hyperlink>
    </w:p>
    <w:p w:rsidR="003715EB" w:rsidRPr="003715EB" w:rsidRDefault="009F5F9F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7" w:history="1">
        <w:r w:rsidR="003715EB" w:rsidRPr="003715EB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Niños</w:t>
        </w:r>
      </w:hyperlink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Cobertura de atención: </w:t>
      </w:r>
    </w:p>
    <w:p w:rsidR="003715EB" w:rsidRPr="003715EB" w:rsidRDefault="003715EB" w:rsidP="003715EB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3715EB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38 municipios del Estado.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Acciones específicas que realiza el programa: </w:t>
      </w:r>
    </w:p>
    <w:p w:rsidR="003715EB" w:rsidRPr="003715EB" w:rsidRDefault="003715EB" w:rsidP="003715EB">
      <w:pPr>
        <w:spacing w:before="240" w:after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3715EB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 xml:space="preserve">• Llevar a cabo acciones de prevención de riesgos psicosociales como pláticas, foros, </w:t>
      </w:r>
      <w:proofErr w:type="spellStart"/>
      <w:r w:rsidRPr="003715EB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talleres</w:t>
      </w:r>
      <w:proofErr w:type="gramStart"/>
      <w:r w:rsidRPr="003715EB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,dirigidos</w:t>
      </w:r>
      <w:proofErr w:type="spellEnd"/>
      <w:proofErr w:type="gramEnd"/>
      <w:r w:rsidRPr="003715EB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 xml:space="preserve"> a jóvenes.</w:t>
      </w:r>
    </w:p>
    <w:p w:rsidR="003715EB" w:rsidRPr="003715EB" w:rsidRDefault="003715EB" w:rsidP="003715EB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3715EB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• Acciones que fomenten el buen trato en niñas, niños, adolescentes y adultos.</w:t>
      </w:r>
    </w:p>
    <w:p w:rsidR="003715EB" w:rsidRPr="003715EB" w:rsidRDefault="003715EB" w:rsidP="003715EB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3715EB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Trámites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Responsable del Programa: </w:t>
      </w:r>
    </w:p>
    <w:p w:rsidR="003715EB" w:rsidRPr="003715EB" w:rsidRDefault="003715EB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David Mejorado Alvarado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 xml:space="preserve">Teléfono de </w:t>
      </w:r>
      <w:proofErr w:type="spellStart"/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atencion</w:t>
      </w:r>
      <w:proofErr w:type="spellEnd"/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: </w:t>
      </w:r>
    </w:p>
    <w:p w:rsidR="003715EB" w:rsidRPr="003715EB" w:rsidRDefault="003715EB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 xml:space="preserve">4 10 95 80, 4 89 40 82 y 417 70 47 </w:t>
      </w:r>
      <w:proofErr w:type="spellStart"/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ext</w:t>
      </w:r>
      <w:proofErr w:type="spellEnd"/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 xml:space="preserve"> 4443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Teléfono de atención a denuncia anónima las 24 horas: </w:t>
      </w:r>
    </w:p>
    <w:p w:rsidR="003715EB" w:rsidRPr="003715EB" w:rsidRDefault="003715EB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01 800 830 0010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Cobertura de atención: </w:t>
      </w:r>
    </w:p>
    <w:p w:rsidR="003715EB" w:rsidRPr="003715EB" w:rsidRDefault="003715EB" w:rsidP="003715EB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3715EB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38 municipios del Estado.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Horario de atención: </w:t>
      </w:r>
    </w:p>
    <w:p w:rsidR="003715EB" w:rsidRPr="003715EB" w:rsidRDefault="003715EB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8:00 am a 4:00 pm</w:t>
      </w:r>
    </w:p>
    <w:p w:rsidR="003715EB" w:rsidRPr="003715EB" w:rsidRDefault="003715EB" w:rsidP="003715EB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3715EB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Estructura normativa</w:t>
      </w:r>
    </w:p>
    <w:p w:rsidR="003715EB" w:rsidRPr="003715EB" w:rsidRDefault="003715EB" w:rsidP="003715EB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Plan Estatal de Desarrollo 2011-2017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Eje rector: </w:t>
      </w:r>
    </w:p>
    <w:p w:rsidR="003715EB" w:rsidRPr="003715EB" w:rsidRDefault="003715EB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3 Una Nueva Propuesta para el Desarrollo Social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Estrategia: </w:t>
      </w:r>
    </w:p>
    <w:p w:rsidR="003715EB" w:rsidRPr="003715EB" w:rsidRDefault="003715EB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3.1.5 Dar seguimiento a las necesidades de menores de edad en desamparo, jefas de familia, personas adultas mayores y personas con discapacidad en condiciones de pobreza.</w:t>
      </w:r>
    </w:p>
    <w:p w:rsidR="003715EB" w:rsidRPr="003715EB" w:rsidRDefault="003715EB" w:rsidP="003715EB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lastRenderedPageBreak/>
        <w:t>Ley de Asistencia Social y Protección de Derechos del Estado de Coahuila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Ley de Asistencia Social: </w:t>
      </w:r>
    </w:p>
    <w:p w:rsidR="003715EB" w:rsidRPr="003715EB" w:rsidRDefault="003715EB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Ley publicada en el Periódico Oficial, 27 abril 2012</w:t>
      </w:r>
    </w:p>
    <w:p w:rsidR="003715EB" w:rsidRPr="003715EB" w:rsidRDefault="003715EB" w:rsidP="003715EB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Programa Especial de Asistencia Social 2011-2017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Eje: </w:t>
      </w:r>
    </w:p>
    <w:p w:rsidR="003715EB" w:rsidRPr="003715EB" w:rsidRDefault="003715EB" w:rsidP="003715EB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2 Familia Saludable y Segura</w:t>
      </w:r>
    </w:p>
    <w:p w:rsidR="003715EB" w:rsidRPr="003715EB" w:rsidRDefault="003715EB" w:rsidP="003715EB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3715EB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Estrategia: </w:t>
      </w:r>
    </w:p>
    <w:p w:rsidR="003715EB" w:rsidRPr="003715EB" w:rsidRDefault="003715EB" w:rsidP="003715EB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3715EB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2.3 Reforzar los programas dirigidos al fomento de conductas responsables para la prevención de adicciones, de enfermedades de transmisión sexual, y de embarazos no planeados en los adolescentes.</w:t>
      </w:r>
    </w:p>
    <w:p w:rsidR="001B0AAF" w:rsidRDefault="001B0AAF"/>
    <w:sectPr w:rsidR="001B0A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EB"/>
    <w:rsid w:val="001B0AAF"/>
    <w:rsid w:val="003715EB"/>
    <w:rsid w:val="009F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71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4">
    <w:name w:val="heading 4"/>
    <w:basedOn w:val="Normal"/>
    <w:link w:val="Ttulo4Car"/>
    <w:uiPriority w:val="9"/>
    <w:qFormat/>
    <w:rsid w:val="00371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link w:val="Ttulo5Car"/>
    <w:uiPriority w:val="9"/>
    <w:qFormat/>
    <w:rsid w:val="003715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5E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3715EB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3715EB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715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71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4">
    <w:name w:val="heading 4"/>
    <w:basedOn w:val="Normal"/>
    <w:link w:val="Ttulo4Car"/>
    <w:uiPriority w:val="9"/>
    <w:qFormat/>
    <w:rsid w:val="003715E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link w:val="Ttulo5Car"/>
    <w:uiPriority w:val="9"/>
    <w:qFormat/>
    <w:rsid w:val="003715E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15E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3715EB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3715EB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3715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71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35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54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6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6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268294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001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20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1932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143737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90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582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32292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0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50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58880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031759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48226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32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99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97327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018719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67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25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76937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5315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651970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9543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1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383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5418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30363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0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77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81810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196442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34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16255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87972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00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93935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54881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937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62975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59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73657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0957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56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366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0907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29418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9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13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293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191917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7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84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687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941426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73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80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3287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631681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8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95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88432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fcoahuila.gob.mx/content/ni-o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fcoahuila.gob.mx/content/j-venes" TargetMode="External"/><Relationship Id="rId5" Type="http://schemas.openxmlformats.org/officeDocument/2006/relationships/hyperlink" Target="http://www.difcoahuila.gob.mx/content/familia-saludable-y-apoyos-complementario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Inspiron14</dc:creator>
  <cp:lastModifiedBy>ssaopps</cp:lastModifiedBy>
  <cp:revision>2</cp:revision>
  <dcterms:created xsi:type="dcterms:W3CDTF">2016-09-01T16:11:00Z</dcterms:created>
  <dcterms:modified xsi:type="dcterms:W3CDTF">2016-09-01T16:11:00Z</dcterms:modified>
</cp:coreProperties>
</file>